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76" w:rsidRDefault="00494703" w:rsidP="00260D76">
      <w:pPr>
        <w:pStyle w:val="Kanttext"/>
        <w:framePr w:wrap="around"/>
      </w:pPr>
      <w:r>
        <w:t>Möte</w:t>
      </w:r>
      <w:r w:rsidR="00A60288">
        <w:t>santeckning</w:t>
      </w:r>
    </w:p>
    <w:p w:rsidR="00260D76" w:rsidRDefault="00260D76" w:rsidP="00260D76">
      <w:pPr>
        <w:pStyle w:val="Kanttextbrd"/>
        <w:framePr w:wrap="around"/>
      </w:pPr>
      <w:r w:rsidRPr="00A5672C">
        <w:rPr>
          <w:b/>
          <w:bCs/>
        </w:rPr>
        <w:t>Datum</w:t>
      </w:r>
      <w:r>
        <w:t xml:space="preserve"> </w:t>
      </w:r>
      <w:r w:rsidR="00172E31">
        <w:t>2018-11-09</w:t>
      </w:r>
    </w:p>
    <w:p w:rsidR="00260D76" w:rsidRDefault="00EF17CF" w:rsidP="00260D76">
      <w:pPr>
        <w:pStyle w:val="Kanttextbrd"/>
        <w:framePr w:wrap="around"/>
      </w:pPr>
      <w:r>
        <w:rPr>
          <w:b/>
          <w:bCs/>
        </w:rPr>
        <w:t>Författare</w:t>
      </w:r>
      <w:r w:rsidR="00260D76">
        <w:t xml:space="preserve"> </w:t>
      </w:r>
      <w:r w:rsidR="002101AC">
        <w:t>Annika Carlsson</w:t>
      </w:r>
    </w:p>
    <w:p w:rsidR="00EF17CF" w:rsidRDefault="00EF17CF" w:rsidP="00260D76">
      <w:pPr>
        <w:pStyle w:val="Kanttextbrd"/>
        <w:framePr w:wrap="around"/>
      </w:pPr>
    </w:p>
    <w:p w:rsidR="00027695" w:rsidRDefault="00172E31" w:rsidP="00315E89">
      <w:pPr>
        <w:pStyle w:val="Rubrik1"/>
      </w:pPr>
      <w:r>
        <w:t>Webbmöte om due dill</w:t>
      </w:r>
      <w:r w:rsidR="002E44A4">
        <w:t>igence och proveniensforskning</w:t>
      </w:r>
    </w:p>
    <w:p w:rsidR="00315E89" w:rsidRDefault="00315E89" w:rsidP="00F74336">
      <w:r w:rsidRPr="00315E89">
        <w:rPr>
          <w:lang w:val="nn-NO" w:eastAsia="sv-SE"/>
        </w:rPr>
        <w:t xml:space="preserve">Mötesdatum: </w:t>
      </w:r>
      <w:r w:rsidR="00172E31">
        <w:t>2018-11-09</w:t>
      </w:r>
    </w:p>
    <w:p w:rsidR="00315E89" w:rsidRPr="00315E89" w:rsidRDefault="00315E89" w:rsidP="00C013C3">
      <w:pPr>
        <w:rPr>
          <w:lang w:val="nn-NO" w:eastAsia="sv-SE"/>
        </w:rPr>
      </w:pPr>
      <w:r w:rsidRPr="00315E89">
        <w:rPr>
          <w:lang w:val="nn-NO" w:eastAsia="sv-SE"/>
        </w:rPr>
        <w:t xml:space="preserve">Mötestid: </w:t>
      </w:r>
      <w:r w:rsidR="00172E31">
        <w:t>13.00-14.00</w:t>
      </w:r>
      <w:r w:rsidRPr="00315E89">
        <w:rPr>
          <w:lang w:val="nn-NO" w:eastAsia="sv-SE"/>
        </w:rPr>
        <w:t xml:space="preserve"> </w:t>
      </w:r>
    </w:p>
    <w:p w:rsidR="00315E89" w:rsidRDefault="00172E31" w:rsidP="00315E89">
      <w:pPr>
        <w:rPr>
          <w:lang w:val="nn-NO" w:eastAsia="sv-SE"/>
        </w:rPr>
      </w:pPr>
      <w:r>
        <w:rPr>
          <w:lang w:val="nn-NO" w:eastAsia="sv-SE"/>
        </w:rPr>
        <w:t>Närvarande:</w:t>
      </w:r>
    </w:p>
    <w:p w:rsidR="00172E31" w:rsidRPr="005433AF" w:rsidRDefault="00172E31" w:rsidP="00172E31">
      <w:pPr>
        <w:pStyle w:val="Ingetavstnd"/>
        <w:rPr>
          <w:sz w:val="20"/>
          <w:szCs w:val="20"/>
        </w:rPr>
      </w:pPr>
      <w:r w:rsidRPr="005433AF">
        <w:rPr>
          <w:sz w:val="20"/>
          <w:szCs w:val="20"/>
        </w:rPr>
        <w:t>André Enkler Norrtälje museum</w:t>
      </w:r>
    </w:p>
    <w:p w:rsidR="00172E31" w:rsidRDefault="002E44A4" w:rsidP="00172E31">
      <w:pPr>
        <w:pStyle w:val="Ingetavstnd"/>
        <w:rPr>
          <w:sz w:val="20"/>
          <w:szCs w:val="20"/>
        </w:rPr>
      </w:pPr>
      <w:r>
        <w:rPr>
          <w:sz w:val="20"/>
          <w:szCs w:val="20"/>
        </w:rPr>
        <w:t>Ann Olsén Ehrnstén, Ros</w:t>
      </w:r>
      <w:r w:rsidR="00172E31" w:rsidRPr="005433AF">
        <w:rPr>
          <w:sz w:val="20"/>
          <w:szCs w:val="20"/>
        </w:rPr>
        <w:t xml:space="preserve">lagsmuseet </w:t>
      </w:r>
    </w:p>
    <w:p w:rsidR="00172E31" w:rsidRPr="005433AF" w:rsidRDefault="00172E31" w:rsidP="00172E31">
      <w:pPr>
        <w:pStyle w:val="Ingetavstnd"/>
        <w:rPr>
          <w:sz w:val="20"/>
          <w:szCs w:val="20"/>
        </w:rPr>
      </w:pPr>
      <w:r w:rsidRPr="005433AF">
        <w:rPr>
          <w:sz w:val="20"/>
          <w:szCs w:val="20"/>
        </w:rPr>
        <w:t>Anna Fahlén, Världskulturmuseerna</w:t>
      </w:r>
    </w:p>
    <w:p w:rsidR="00172E31" w:rsidRPr="005433AF" w:rsidRDefault="00172E31" w:rsidP="00172E31">
      <w:pPr>
        <w:pStyle w:val="Ingetavstnd"/>
        <w:rPr>
          <w:sz w:val="20"/>
          <w:szCs w:val="20"/>
        </w:rPr>
      </w:pPr>
      <w:r w:rsidRPr="005433AF">
        <w:rPr>
          <w:sz w:val="20"/>
          <w:szCs w:val="20"/>
        </w:rPr>
        <w:t>Annika Carlsson, Riksantikvarieämbetet</w:t>
      </w:r>
    </w:p>
    <w:p w:rsidR="00172E31" w:rsidRPr="005433AF" w:rsidRDefault="00172E31" w:rsidP="00172E31">
      <w:pPr>
        <w:pStyle w:val="Ingetavstnd"/>
        <w:rPr>
          <w:sz w:val="20"/>
          <w:szCs w:val="20"/>
        </w:rPr>
      </w:pPr>
      <w:r w:rsidRPr="005433AF">
        <w:rPr>
          <w:sz w:val="20"/>
          <w:szCs w:val="20"/>
        </w:rPr>
        <w:t>Emma Lindholm, Världskulturmuseerna</w:t>
      </w:r>
    </w:p>
    <w:p w:rsidR="00172E31" w:rsidRPr="005433AF" w:rsidRDefault="00172E31" w:rsidP="00172E31">
      <w:pPr>
        <w:pStyle w:val="Ingetavstnd"/>
        <w:rPr>
          <w:sz w:val="20"/>
          <w:szCs w:val="20"/>
        </w:rPr>
      </w:pPr>
      <w:r w:rsidRPr="005433AF">
        <w:rPr>
          <w:sz w:val="20"/>
          <w:szCs w:val="20"/>
        </w:rPr>
        <w:t>Gabriella Ericson, Riksantikvarieämbetet</w:t>
      </w:r>
    </w:p>
    <w:p w:rsidR="00172E31" w:rsidRPr="005433AF" w:rsidRDefault="00172E31" w:rsidP="00172E31">
      <w:pPr>
        <w:pStyle w:val="Ingetavstnd"/>
        <w:rPr>
          <w:sz w:val="20"/>
          <w:szCs w:val="20"/>
        </w:rPr>
      </w:pPr>
      <w:r w:rsidRPr="005433AF">
        <w:rPr>
          <w:sz w:val="20"/>
          <w:szCs w:val="20"/>
        </w:rPr>
        <w:t>Helen Larsson Pousette, Riksantikvarieämbetet</w:t>
      </w:r>
    </w:p>
    <w:p w:rsidR="00172E31" w:rsidRPr="005433AF" w:rsidRDefault="00172E31" w:rsidP="00172E31">
      <w:pPr>
        <w:pStyle w:val="Ingetavstnd"/>
        <w:rPr>
          <w:sz w:val="20"/>
          <w:szCs w:val="20"/>
        </w:rPr>
      </w:pPr>
      <w:r w:rsidRPr="005433AF">
        <w:rPr>
          <w:sz w:val="20"/>
          <w:szCs w:val="20"/>
        </w:rPr>
        <w:t>Ingela Chef Holmberg, Riksantikvarieämbetet</w:t>
      </w:r>
    </w:p>
    <w:p w:rsidR="00172E31" w:rsidRPr="005433AF" w:rsidRDefault="00172E31" w:rsidP="00172E31">
      <w:pPr>
        <w:pStyle w:val="Ingetavstnd"/>
        <w:rPr>
          <w:sz w:val="20"/>
          <w:szCs w:val="20"/>
        </w:rPr>
      </w:pPr>
      <w:r w:rsidRPr="005433AF">
        <w:rPr>
          <w:sz w:val="20"/>
          <w:szCs w:val="20"/>
        </w:rPr>
        <w:t>Lina Wennersten, Riksantikvarieämbetet</w:t>
      </w:r>
    </w:p>
    <w:p w:rsidR="00172E31" w:rsidRPr="005433AF" w:rsidRDefault="00172E31" w:rsidP="00172E31">
      <w:pPr>
        <w:pStyle w:val="Ingetavstnd"/>
        <w:rPr>
          <w:sz w:val="20"/>
          <w:szCs w:val="20"/>
        </w:rPr>
      </w:pPr>
      <w:r w:rsidRPr="005433AF">
        <w:rPr>
          <w:sz w:val="20"/>
          <w:szCs w:val="20"/>
        </w:rPr>
        <w:t>Maria Dahlström, Världskulturmuseerna</w:t>
      </w:r>
    </w:p>
    <w:p w:rsidR="00172E31" w:rsidRPr="005433AF" w:rsidRDefault="00172E31" w:rsidP="00172E31">
      <w:pPr>
        <w:pStyle w:val="Ingetavstnd"/>
        <w:rPr>
          <w:sz w:val="20"/>
          <w:szCs w:val="20"/>
        </w:rPr>
      </w:pPr>
      <w:r w:rsidRPr="005433AF">
        <w:rPr>
          <w:sz w:val="20"/>
          <w:szCs w:val="20"/>
        </w:rPr>
        <w:t>Maria Rossipal, Riksantikvarieämbetet</w:t>
      </w:r>
    </w:p>
    <w:p w:rsidR="00172E31" w:rsidRPr="005433AF" w:rsidRDefault="00172E31" w:rsidP="00172E31">
      <w:pPr>
        <w:pStyle w:val="Ingetavstnd"/>
        <w:rPr>
          <w:sz w:val="20"/>
          <w:szCs w:val="20"/>
        </w:rPr>
      </w:pPr>
      <w:r w:rsidRPr="005433AF">
        <w:rPr>
          <w:sz w:val="20"/>
          <w:szCs w:val="20"/>
        </w:rPr>
        <w:t>Susanne Nickel, Eskilstuna stadsmuseum</w:t>
      </w:r>
    </w:p>
    <w:p w:rsidR="00172E31" w:rsidRPr="005433AF" w:rsidRDefault="00172E31" w:rsidP="00172E31">
      <w:pPr>
        <w:pStyle w:val="Ingetavstnd"/>
        <w:rPr>
          <w:sz w:val="20"/>
          <w:szCs w:val="20"/>
        </w:rPr>
      </w:pPr>
      <w:r w:rsidRPr="005433AF">
        <w:rPr>
          <w:sz w:val="20"/>
          <w:szCs w:val="20"/>
        </w:rPr>
        <w:t>Ylva Frögeli, Världskulturmuseerna</w:t>
      </w:r>
    </w:p>
    <w:p w:rsidR="00172E31" w:rsidRDefault="00172E31" w:rsidP="00172E31"/>
    <w:p w:rsidR="00172E31" w:rsidRDefault="00172E31" w:rsidP="00172E31">
      <w:r>
        <w:t>Webbmötet handlade den här gången om Due dilligence och proveniensforskning.</w:t>
      </w:r>
    </w:p>
    <w:p w:rsidR="00172E31" w:rsidRDefault="00172E31" w:rsidP="00172E31">
      <w:r>
        <w:t xml:space="preserve">Anledningen till att vi valde temat är att det har en koppling till Riksantikvarieämbetets pågående regeringsuppdrag kring </w:t>
      </w:r>
      <w:r w:rsidRPr="005433AF">
        <w:rPr>
          <w:i/>
        </w:rPr>
        <w:t>Återlämnande av vissa kulturföremål.</w:t>
      </w:r>
      <w:r>
        <w:t xml:space="preserve"> Många frågor i det arbetet, bland annat kring förvärv, berör proveniensforskning och due dilligence. Intressant är att vissa saker kanske inte var olagligt vid tidpunkten för insamlandet, men kan betraktas som oetiskt idag.</w:t>
      </w:r>
    </w:p>
    <w:p w:rsidR="00172E31" w:rsidRDefault="00172E31" w:rsidP="00172E31">
      <w:pPr>
        <w:rPr>
          <w:b/>
        </w:rPr>
      </w:pPr>
    </w:p>
    <w:p w:rsidR="00172E31" w:rsidRDefault="00172E31" w:rsidP="00172E31">
      <w:pPr>
        <w:rPr>
          <w:b/>
        </w:rPr>
      </w:pPr>
      <w:r>
        <w:rPr>
          <w:b/>
        </w:rPr>
        <w:t>Hur har museer i Sverige arbetat med proveniensefterforskningar tidigare?</w:t>
      </w:r>
    </w:p>
    <w:p w:rsidR="00172E31" w:rsidRPr="00FE3490" w:rsidRDefault="00172E31" w:rsidP="00172E31">
      <w:pPr>
        <w:rPr>
          <w:b/>
        </w:rPr>
      </w:pPr>
      <w:r>
        <w:t>Många museer i Sverige har inte arbetat så mycket med proveniensefterforskning. Önskan om att få in ett specifikt föremål till samlingarna har ofta varit starkare än att göra efterforskningarna. Ibland har enskilda individer agerat på eget bevåg eller inte gjort några efterforskningar alls. Till exempel kan man ha tagit emot arv, där inga proveniensefterforskningar har gjorts.</w:t>
      </w:r>
    </w:p>
    <w:p w:rsidR="00172E31" w:rsidRDefault="00172E31" w:rsidP="00172E31">
      <w:r>
        <w:t>Det kan finnas objekt som sedan länge bara varit inne för påseende och som aldrig har lämnats tillbaka, där information kanske har försvunnit.</w:t>
      </w:r>
    </w:p>
    <w:p w:rsidR="00172E31" w:rsidRDefault="00172E31" w:rsidP="00172E31">
      <w:pPr>
        <w:rPr>
          <w:b/>
        </w:rPr>
      </w:pPr>
    </w:p>
    <w:p w:rsidR="00172E31" w:rsidRDefault="00172E31" w:rsidP="00172E31">
      <w:pPr>
        <w:rPr>
          <w:b/>
        </w:rPr>
      </w:pPr>
      <w:r>
        <w:rPr>
          <w:b/>
        </w:rPr>
        <w:t>Hur jobbar museer idag?</w:t>
      </w:r>
    </w:p>
    <w:p w:rsidR="00172E31" w:rsidRDefault="00172E31" w:rsidP="00172E31">
      <w:r>
        <w:t>Mycket händer just nu i Sverige. Det finns dock ingen samlad form för proveniensforskning.</w:t>
      </w:r>
    </w:p>
    <w:p w:rsidR="00172E31" w:rsidRDefault="00172E31" w:rsidP="00172E31">
      <w:pPr>
        <w:rPr>
          <w:b/>
        </w:rPr>
      </w:pPr>
      <w:r>
        <w:lastRenderedPageBreak/>
        <w:t>Idag anses det viktigt att museerna försöker följa Icoms etiska regler. Riktlinjer, policyer och förvaltningsplaner tas allt oftare fram. Anställda kan få en särskild uppgift att jobba med proveniensefterforskning.</w:t>
      </w:r>
    </w:p>
    <w:p w:rsidR="00172E31" w:rsidRPr="00FE3490" w:rsidRDefault="00172E31" w:rsidP="00172E31">
      <w:pPr>
        <w:spacing w:after="160" w:line="259" w:lineRule="auto"/>
        <w:rPr>
          <w:b/>
        </w:rPr>
      </w:pPr>
      <w:r>
        <w:t>Museer är ofta noggranna med att inte ställa ut objekt som saknar proveniens och rätt inventarienummer.</w:t>
      </w:r>
      <w:r w:rsidRPr="00132F6A">
        <w:t xml:space="preserve"> </w:t>
      </w:r>
    </w:p>
    <w:p w:rsidR="00172E31" w:rsidRDefault="00172E31" w:rsidP="00172E31">
      <w:pPr>
        <w:spacing w:after="160" w:line="259" w:lineRule="auto"/>
      </w:pPr>
      <w:r>
        <w:t xml:space="preserve">2003 ratificierade Sverige </w:t>
      </w:r>
      <w:r w:rsidRPr="00132F6A">
        <w:rPr>
          <w:i/>
        </w:rPr>
        <w:t xml:space="preserve">Unescokonventionen om åtgärder för att förbjuda och förhindra olovlig införsel, utförsel och överlåtelse av äganderätten till kulturegendom (1970). </w:t>
      </w:r>
      <w:r>
        <w:t xml:space="preserve">Det förde med sig att en del museer skärpte sina rutiner. Det är också efter det årtalet som det kan vara bra att som museum kolla upp om regler och riktlinjer har efterföljts när det till exempel gäller nyförvärv.  </w:t>
      </w:r>
    </w:p>
    <w:p w:rsidR="00172E31" w:rsidRDefault="00172E31" w:rsidP="00172E31">
      <w:r>
        <w:t>Det är bra att vara medveten om att det inte alltid har funnits bra rutiner tidigare. Men det är också viktigt att lägga det bakom sig och säga att: ”</w:t>
      </w:r>
      <w:r w:rsidRPr="00EE4A59">
        <w:rPr>
          <w:i/>
        </w:rPr>
        <w:t>från och med nu ska vi försöka att göra rätt</w:t>
      </w:r>
      <w:r>
        <w:rPr>
          <w:i/>
        </w:rPr>
        <w:t>”</w:t>
      </w:r>
      <w:r w:rsidRPr="00EE4A59">
        <w:rPr>
          <w:i/>
        </w:rPr>
        <w:t>.</w:t>
      </w:r>
    </w:p>
    <w:p w:rsidR="00172E31" w:rsidRPr="000B290E" w:rsidRDefault="00172E31" w:rsidP="00172E31">
      <w:r>
        <w:t>Extra viktigt att göra rätt är när man jobbar med internationella samlingar.</w:t>
      </w:r>
    </w:p>
    <w:p w:rsidR="00172E31" w:rsidRDefault="00172E31" w:rsidP="00172E31">
      <w:pPr>
        <w:rPr>
          <w:b/>
        </w:rPr>
      </w:pPr>
    </w:p>
    <w:p w:rsidR="00172E31" w:rsidRDefault="00172E31" w:rsidP="00172E31">
      <w:r w:rsidRPr="008E6ECA">
        <w:rPr>
          <w:b/>
        </w:rPr>
        <w:t xml:space="preserve">När </w:t>
      </w:r>
      <w:r>
        <w:rPr>
          <w:b/>
        </w:rPr>
        <w:t xml:space="preserve">kan museet anse sig ha </w:t>
      </w:r>
      <w:r w:rsidRPr="008E6ECA">
        <w:rPr>
          <w:b/>
        </w:rPr>
        <w:t>gjort en fullgod due dilligence?</w:t>
      </w:r>
      <w:r>
        <w:t xml:space="preserve"> </w:t>
      </w:r>
    </w:p>
    <w:p w:rsidR="00172E31" w:rsidRDefault="00172E31" w:rsidP="00172E31">
      <w:r>
        <w:t>Museet kan som hjälp ha en rapportmall med en checklista som fylls i med vad som kontrollerats och vem som har tillfrågats. Denna dokumentation kan användas även när museet till exempel ska låna ut eller på annat sätt använda föremål. Det går att ”bevisa” att museet kontrollerat allt som ska kontrolleras.</w:t>
      </w:r>
    </w:p>
    <w:p w:rsidR="00172E31" w:rsidRDefault="00172E31" w:rsidP="00172E31">
      <w:pPr>
        <w:rPr>
          <w:b/>
        </w:rPr>
      </w:pPr>
    </w:p>
    <w:p w:rsidR="00172E31" w:rsidRPr="00AC5F8A" w:rsidRDefault="00172E31" w:rsidP="00172E31">
      <w:pPr>
        <w:rPr>
          <w:b/>
        </w:rPr>
      </w:pPr>
      <w:r w:rsidRPr="00AC5F8A">
        <w:rPr>
          <w:b/>
        </w:rPr>
        <w:t>Var hamnar ny information från efterforskningarna?</w:t>
      </w:r>
    </w:p>
    <w:p w:rsidR="00172E31" w:rsidRDefault="00172E31" w:rsidP="00172E31">
      <w:r>
        <w:t xml:space="preserve">Det är bra om museet sparar och utnyttjar den information som kommer fram i efterforskningar. Information kan arkiveras och läggas in i databasen så att den lätt går att hitta när man behöver den. I vissa databaser finns en fråga om proveniensforskning har utförts. </w:t>
      </w:r>
    </w:p>
    <w:p w:rsidR="00172E31" w:rsidRPr="00060ECE" w:rsidRDefault="00172E31" w:rsidP="00172E31">
      <w:r>
        <w:t xml:space="preserve">I vissa databaser finns det en tilläggsinformationsrad som kan flagga för att ny information finns.   </w:t>
      </w:r>
    </w:p>
    <w:p w:rsidR="00172E31" w:rsidRDefault="00172E31" w:rsidP="00172E31">
      <w:r>
        <w:t>Om museet har stora samlingar sedan gammalt, där det inte finns någon proveniens, kan man behöva börja med att få ordning i grunden accessionskataloger och annan information.</w:t>
      </w:r>
    </w:p>
    <w:p w:rsidR="00172E31" w:rsidRDefault="00172E31" w:rsidP="00172E31">
      <w:r>
        <w:t xml:space="preserve">Det är viktigt att skriva ned resonemanget hur museet faktiskt tänkte när ett beslut diskuterades fram. Mycket information försvinner i den digitala tiden. Viktigt att skriva ned mötesdokumentation. Det finns ett glapp mellan pappers- och digitalarkiv. Det kan vara enkelt att bara spara beslut utan resonemangen och då kan det bli obegripligt för eftervärlden. </w:t>
      </w:r>
    </w:p>
    <w:p w:rsidR="00172E31" w:rsidRDefault="00172E31" w:rsidP="00172E31">
      <w:r>
        <w:t>Viktigt att prata med arkivarier om vad som måste sparas och vad som kan gallras. Viktigt att ta vara på möjligheterna att i den digitala världen att koppla ihop olika information med varandra.</w:t>
      </w:r>
    </w:p>
    <w:p w:rsidR="00172E31" w:rsidRPr="00172E31" w:rsidRDefault="00172E31" w:rsidP="00172E31">
      <w:r>
        <w:rPr>
          <w:b/>
        </w:rPr>
        <w:lastRenderedPageBreak/>
        <w:t>Finns det exempel på när det har blivit problem?</w:t>
      </w:r>
    </w:p>
    <w:p w:rsidR="00172E31" w:rsidRDefault="00172E31" w:rsidP="00172E31">
      <w:r>
        <w:t xml:space="preserve">Till exempel när en låda med föremål har lämnats vid museets ingång. Det museet bör göra då är att lämna den till hittegodsavdelningen vid polisen. Det kan vara fråga om stöldgods. Polisen kan göra efterforskningar. Om museet får tillbaka föremål från polisen är det viktigt att klargöra äganderätten. </w:t>
      </w:r>
    </w:p>
    <w:p w:rsidR="00172E31" w:rsidRDefault="00172E31" w:rsidP="00172E31">
      <w:pPr>
        <w:rPr>
          <w:b/>
        </w:rPr>
      </w:pPr>
    </w:p>
    <w:p w:rsidR="00172E31" w:rsidRPr="00C824C2" w:rsidRDefault="00172E31" w:rsidP="00172E31">
      <w:pPr>
        <w:rPr>
          <w:b/>
        </w:rPr>
      </w:pPr>
      <w:r w:rsidRPr="00C824C2">
        <w:rPr>
          <w:b/>
        </w:rPr>
        <w:t>Vad kan museet vinna på efterforskningar?</w:t>
      </w:r>
    </w:p>
    <w:p w:rsidR="00172E31" w:rsidRPr="002E44A4" w:rsidRDefault="00172E31" w:rsidP="002E44A4">
      <w:pPr>
        <w:rPr>
          <w:szCs w:val="18"/>
        </w:rPr>
      </w:pPr>
      <w:r w:rsidRPr="002E44A4">
        <w:rPr>
          <w:szCs w:val="18"/>
        </w:rPr>
        <w:t>Genom efterforskning går det att öka kunskapen om objekt och göra samlingarna mer kända för att få upp intresset för dem.</w:t>
      </w:r>
    </w:p>
    <w:p w:rsidR="00172E31" w:rsidRPr="002E44A4" w:rsidRDefault="00172E31" w:rsidP="002E44A4">
      <w:pPr>
        <w:rPr>
          <w:szCs w:val="18"/>
        </w:rPr>
      </w:pPr>
      <w:r w:rsidRPr="002E44A4">
        <w:rPr>
          <w:szCs w:val="18"/>
        </w:rPr>
        <w:t xml:space="preserve">Initiering av olika projekt kring att öka kunskap och rensa ut saker som inte ska vara i samlingarna. </w:t>
      </w:r>
    </w:p>
    <w:p w:rsidR="00172E31" w:rsidRPr="002E44A4" w:rsidRDefault="00172E31" w:rsidP="002E44A4">
      <w:pPr>
        <w:rPr>
          <w:szCs w:val="18"/>
        </w:rPr>
      </w:pPr>
      <w:r w:rsidRPr="002E44A4">
        <w:rPr>
          <w:szCs w:val="18"/>
        </w:rPr>
        <w:t xml:space="preserve">Återlämna objekt som inte är museets eller som har kommit in av misstag, olagligt eller oetiskt </w:t>
      </w:r>
    </w:p>
    <w:p w:rsidR="00172E31" w:rsidRDefault="00172E31" w:rsidP="00172E31">
      <w:pPr>
        <w:rPr>
          <w:b/>
        </w:rPr>
      </w:pPr>
    </w:p>
    <w:p w:rsidR="00172E31" w:rsidRDefault="00172E31" w:rsidP="00172E31">
      <w:r>
        <w:rPr>
          <w:b/>
        </w:rPr>
        <w:t>Proveniensefterforskningar vid i</w:t>
      </w:r>
      <w:r w:rsidRPr="007C09D4">
        <w:rPr>
          <w:b/>
        </w:rPr>
        <w:t>nlån.</w:t>
      </w:r>
      <w:r>
        <w:t xml:space="preserve"> </w:t>
      </w:r>
    </w:p>
    <w:p w:rsidR="00172E31" w:rsidRDefault="00172E31" w:rsidP="00172E31">
      <w:r>
        <w:t>Proveniensforskningar är inte så efterfrågat vid lån. Brukar inte så ofta finnas med i låneavtalet. Men oftast lånas inte föremål utan kunskap om bakgrund.</w:t>
      </w:r>
    </w:p>
    <w:p w:rsidR="00172E31" w:rsidRDefault="00172E31" w:rsidP="00172E31">
      <w:r>
        <w:t xml:space="preserve">Ibland har lån stoppats när man inte har känt till bakgrunden. </w:t>
      </w:r>
    </w:p>
    <w:p w:rsidR="00172E31" w:rsidRDefault="00172E31" w:rsidP="00172E31">
      <w:pPr>
        <w:rPr>
          <w:b/>
        </w:rPr>
      </w:pPr>
    </w:p>
    <w:p w:rsidR="00172E31" w:rsidRDefault="00172E31" w:rsidP="00172E31">
      <w:r w:rsidRPr="005C4261">
        <w:rPr>
          <w:b/>
        </w:rPr>
        <w:t>Finns det någon tidsgräns för hur mycket tid man kan lägga på efterforskningar?</w:t>
      </w:r>
      <w:r>
        <w:t xml:space="preserve"> </w:t>
      </w:r>
    </w:p>
    <w:p w:rsidR="00172E31" w:rsidRDefault="00172E31" w:rsidP="00172E31">
      <w:r>
        <w:t>Det är ett tidskrävande arbete. Viktigt att inse att det inte går att få svar på allt och när det är rimligt att sluta.</w:t>
      </w:r>
    </w:p>
    <w:p w:rsidR="00172E31" w:rsidRDefault="00172E31" w:rsidP="00172E31"/>
    <w:p w:rsidR="00172E31" w:rsidRDefault="00172E31" w:rsidP="00172E31">
      <w:pPr>
        <w:rPr>
          <w:b/>
        </w:rPr>
      </w:pPr>
      <w:r>
        <w:rPr>
          <w:b/>
        </w:rPr>
        <w:t>Hur kan man jobba när man ska ta fram policyer?</w:t>
      </w:r>
    </w:p>
    <w:p w:rsidR="00172E31" w:rsidRPr="002E44A4" w:rsidRDefault="002E44A4" w:rsidP="002E44A4">
      <w:pPr>
        <w:rPr>
          <w:szCs w:val="18"/>
        </w:rPr>
      </w:pPr>
      <w:r>
        <w:rPr>
          <w:szCs w:val="18"/>
        </w:rPr>
        <w:t xml:space="preserve">Utgå </w:t>
      </w:r>
      <w:r w:rsidR="00172E31" w:rsidRPr="002E44A4">
        <w:rPr>
          <w:szCs w:val="18"/>
        </w:rPr>
        <w:t xml:space="preserve">från Spectrumstandarden. </w:t>
      </w:r>
    </w:p>
    <w:p w:rsidR="00172E31" w:rsidRPr="002E44A4" w:rsidRDefault="00172E31" w:rsidP="002E44A4">
      <w:pPr>
        <w:rPr>
          <w:szCs w:val="18"/>
        </w:rPr>
      </w:pPr>
      <w:r w:rsidRPr="002E44A4">
        <w:rPr>
          <w:szCs w:val="18"/>
        </w:rPr>
        <w:t>Det finns också en bra checklista på Collection Trusts hemsida.</w:t>
      </w:r>
    </w:p>
    <w:p w:rsidR="002E44A4" w:rsidRDefault="002E44A4" w:rsidP="00172E31">
      <w:pPr>
        <w:rPr>
          <w:b/>
        </w:rPr>
      </w:pPr>
    </w:p>
    <w:p w:rsidR="00172E31" w:rsidRPr="005C4261" w:rsidRDefault="00172E31" w:rsidP="00172E31">
      <w:pPr>
        <w:rPr>
          <w:b/>
        </w:rPr>
      </w:pPr>
      <w:r w:rsidRPr="005C4261">
        <w:rPr>
          <w:b/>
        </w:rPr>
        <w:t>Internationellt</w:t>
      </w:r>
    </w:p>
    <w:p w:rsidR="00172E31" w:rsidRDefault="00172E31" w:rsidP="00172E31">
      <w:r>
        <w:t>På större museer internationellt finns ibland heltidsanställda som bara jobbar med proveniensefterforskning.</w:t>
      </w:r>
    </w:p>
    <w:p w:rsidR="00172E31" w:rsidRDefault="00172E31" w:rsidP="00172E31">
      <w:r>
        <w:t xml:space="preserve">I Tyskland finns ett statligt uppdrag kring proveniensforskning. Där har man inrättat en fond där det går att söka pengar för ändamålet. Någon sådan fond finns inte i Sverige idag. Vi får avvakta och se om något liknande skulle kunna komma till efter Riksantikvarieämbetets regeringsuppdrag. </w:t>
      </w:r>
    </w:p>
    <w:p w:rsidR="00172E31" w:rsidRDefault="00172E31" w:rsidP="00172E31">
      <w:r>
        <w:t xml:space="preserve">Moderna museets chef skrev för ett tag sedan en debattartikel där man efterfrågade ett råd eller panel kring de här frågorna, främst när det gäller stulen konst under nazitiden. Moderna museets arrangerade nyligen en konferens om </w:t>
      </w:r>
      <w:r>
        <w:lastRenderedPageBreak/>
        <w:t xml:space="preserve">detta där proveniensforskning var en stor del. På konferensen var Kulturdepartementet med och lyssnade. Moderna museet anlitade för sitt ärende en person som hade en oberoende ställning och som hade kunskap att använda arkiv i andra länder. </w:t>
      </w:r>
    </w:p>
    <w:p w:rsidR="00172E31" w:rsidRPr="005A1BDC" w:rsidRDefault="00172E31" w:rsidP="00172E31">
      <w:r>
        <w:t xml:space="preserve">Icom har ingen kommitté speciellt för proveniensforskning. En kommitté finns för museum management. CIDOC är kommittén för dokumentation. Bra att börja prata om frågorna så att man kan börja att jobba kring dessa frågor internationellt. </w:t>
      </w:r>
    </w:p>
    <w:p w:rsidR="00172E31" w:rsidRDefault="00172E31" w:rsidP="00172E31">
      <w:pPr>
        <w:rPr>
          <w:b/>
        </w:rPr>
      </w:pPr>
    </w:p>
    <w:p w:rsidR="00172E31" w:rsidRPr="00D36D93" w:rsidRDefault="00172E31" w:rsidP="00172E31">
      <w:pPr>
        <w:rPr>
          <w:b/>
        </w:rPr>
      </w:pPr>
      <w:r w:rsidRPr="00D36D93">
        <w:rPr>
          <w:b/>
        </w:rPr>
        <w:t>Vad gör andra museer?</w:t>
      </w:r>
    </w:p>
    <w:p w:rsidR="00172E31" w:rsidRDefault="00172E31" w:rsidP="00172E31">
      <w:r>
        <w:t xml:space="preserve">Konstmuseerna gör efterforskningar till viss del. Men om man jämför med hur det ser ut i andra länder så är det inte samma omfattning. Man gör efterforskningarna i vissa projekt eller till ett visst sammanhang eller efter specifika behov. </w:t>
      </w:r>
    </w:p>
    <w:p w:rsidR="00172E31" w:rsidRDefault="00172E31" w:rsidP="00172E31">
      <w:r>
        <w:t xml:space="preserve">Konstmuseerna har gått igenom sina samlingar för att hitta konst med oklar bakgrund från nazitiden </w:t>
      </w:r>
    </w:p>
    <w:p w:rsidR="00172E31" w:rsidRDefault="00172E31" w:rsidP="00172E31">
      <w:pPr>
        <w:rPr>
          <w:b/>
        </w:rPr>
      </w:pPr>
    </w:p>
    <w:p w:rsidR="00172E31" w:rsidRPr="00BF60DB" w:rsidRDefault="00172E31" w:rsidP="00172E31">
      <w:pPr>
        <w:rPr>
          <w:b/>
        </w:rPr>
      </w:pPr>
      <w:r>
        <w:rPr>
          <w:b/>
        </w:rPr>
        <w:t>Vilka behov finns</w:t>
      </w:r>
      <w:r w:rsidRPr="00BF60DB">
        <w:rPr>
          <w:b/>
        </w:rPr>
        <w:t>?</w:t>
      </w:r>
    </w:p>
    <w:p w:rsidR="00172E31" w:rsidRPr="002101AC" w:rsidRDefault="00172E31" w:rsidP="002101AC">
      <w:pPr>
        <w:pStyle w:val="Liststycke"/>
        <w:numPr>
          <w:ilvl w:val="0"/>
          <w:numId w:val="9"/>
        </w:numPr>
        <w:rPr>
          <w:rFonts w:ascii="Arial" w:hAnsi="Arial" w:cs="Arial"/>
          <w:sz w:val="18"/>
          <w:szCs w:val="18"/>
        </w:rPr>
      </w:pPr>
      <w:r w:rsidRPr="002101AC">
        <w:rPr>
          <w:rFonts w:ascii="Arial" w:hAnsi="Arial" w:cs="Arial"/>
          <w:sz w:val="18"/>
          <w:szCs w:val="18"/>
        </w:rPr>
        <w:t xml:space="preserve">Det borde finnas möjlighet för museer att söka bidrag för att kunna göra proveniensforskningar. Flera museer skulle då kunna göra gemensamma ansökningar. </w:t>
      </w:r>
    </w:p>
    <w:p w:rsidR="00172E31" w:rsidRPr="002101AC" w:rsidRDefault="00172E31" w:rsidP="002101AC">
      <w:pPr>
        <w:pStyle w:val="Liststycke"/>
        <w:numPr>
          <w:ilvl w:val="0"/>
          <w:numId w:val="9"/>
        </w:numPr>
        <w:rPr>
          <w:rFonts w:ascii="Arial" w:hAnsi="Arial" w:cs="Arial"/>
          <w:sz w:val="18"/>
          <w:szCs w:val="18"/>
        </w:rPr>
      </w:pPr>
      <w:r w:rsidRPr="002101AC">
        <w:rPr>
          <w:rFonts w:ascii="Arial" w:hAnsi="Arial" w:cs="Arial"/>
          <w:sz w:val="18"/>
          <w:szCs w:val="18"/>
        </w:rPr>
        <w:t>Museer borde gå ihop och gör gemensamma projekt. De äldre samlingarna är samlade av ungefär samma personer på olika museer som bytte objekt med varandra. De kommer därför upp i efterforskningarna. Information kan finnas på andra museer och arkiv.</w:t>
      </w:r>
    </w:p>
    <w:p w:rsidR="00172E31" w:rsidRPr="002101AC" w:rsidRDefault="00172E31" w:rsidP="002101AC">
      <w:pPr>
        <w:pStyle w:val="Liststycke"/>
        <w:numPr>
          <w:ilvl w:val="0"/>
          <w:numId w:val="9"/>
        </w:numPr>
        <w:rPr>
          <w:rFonts w:ascii="Arial" w:hAnsi="Arial" w:cs="Arial"/>
          <w:sz w:val="18"/>
          <w:szCs w:val="18"/>
        </w:rPr>
      </w:pPr>
      <w:r w:rsidRPr="002101AC">
        <w:rPr>
          <w:rFonts w:ascii="Arial" w:hAnsi="Arial" w:cs="Arial"/>
          <w:sz w:val="18"/>
          <w:szCs w:val="18"/>
        </w:rPr>
        <w:t xml:space="preserve">Behov finns av ett nätverk inom proveniensefterforskningar. </w:t>
      </w:r>
    </w:p>
    <w:p w:rsidR="00172E31" w:rsidRPr="002101AC" w:rsidRDefault="00172E31" w:rsidP="002101AC">
      <w:pPr>
        <w:pStyle w:val="Liststycke"/>
        <w:numPr>
          <w:ilvl w:val="0"/>
          <w:numId w:val="9"/>
        </w:numPr>
        <w:rPr>
          <w:rFonts w:ascii="Arial" w:hAnsi="Arial" w:cs="Arial"/>
          <w:sz w:val="18"/>
          <w:szCs w:val="18"/>
        </w:rPr>
      </w:pPr>
      <w:r w:rsidRPr="002101AC">
        <w:rPr>
          <w:rFonts w:ascii="Arial" w:hAnsi="Arial" w:cs="Arial"/>
          <w:sz w:val="18"/>
          <w:szCs w:val="18"/>
        </w:rPr>
        <w:t>Behov av att kunna dela</w:t>
      </w:r>
      <w:bookmarkStart w:id="0" w:name="_GoBack"/>
      <w:bookmarkEnd w:id="0"/>
      <w:r w:rsidRPr="002101AC">
        <w:rPr>
          <w:rFonts w:ascii="Arial" w:hAnsi="Arial" w:cs="Arial"/>
          <w:sz w:val="18"/>
          <w:szCs w:val="18"/>
        </w:rPr>
        <w:t xml:space="preserve"> kunskap på ett smidigt sätt. Både ett diskussionsforum och ett ställe där det går att samla information om samlare och bidragsgivare, som en wiki. Frågan är var sådan information skulle kunna samlas? Riksantikvarieämbetet? Icom? Icom borde ha ett sådant internationellt nätverk för alla världens samlingar. </w:t>
      </w:r>
    </w:p>
    <w:p w:rsidR="00172E31" w:rsidRPr="002101AC" w:rsidRDefault="00172E31" w:rsidP="002101AC">
      <w:pPr>
        <w:pStyle w:val="Liststycke"/>
        <w:numPr>
          <w:ilvl w:val="0"/>
          <w:numId w:val="9"/>
        </w:numPr>
        <w:rPr>
          <w:rFonts w:ascii="Arial" w:hAnsi="Arial" w:cs="Arial"/>
          <w:sz w:val="18"/>
          <w:szCs w:val="18"/>
        </w:rPr>
      </w:pPr>
      <w:r w:rsidRPr="002101AC">
        <w:rPr>
          <w:rFonts w:ascii="Arial" w:hAnsi="Arial" w:cs="Arial"/>
          <w:sz w:val="18"/>
          <w:szCs w:val="18"/>
        </w:rPr>
        <w:t xml:space="preserve">Förslag att anordna en konferens år 2020 om proveniensefterforskningar i samarbete med COMCOL, svenska ICOM, ev CIDOC och Riksantikvarieämbetet. Bra att i olika sammanhang prata om frågan för att kunna lobba för resurser. </w:t>
      </w:r>
    </w:p>
    <w:p w:rsidR="00172E31" w:rsidRPr="006C5059" w:rsidRDefault="00172E31" w:rsidP="00172E31">
      <w:pPr>
        <w:rPr>
          <w:b/>
        </w:rPr>
      </w:pPr>
      <w:r w:rsidRPr="006C5059">
        <w:rPr>
          <w:b/>
        </w:rPr>
        <w:t>Andra tips</w:t>
      </w:r>
    </w:p>
    <w:p w:rsidR="00172E31" w:rsidRPr="002101AC" w:rsidRDefault="00172E31" w:rsidP="002101AC">
      <w:pPr>
        <w:pStyle w:val="Liststycke"/>
        <w:numPr>
          <w:ilvl w:val="0"/>
          <w:numId w:val="10"/>
        </w:numPr>
        <w:rPr>
          <w:rFonts w:ascii="Arial" w:hAnsi="Arial" w:cs="Arial"/>
          <w:sz w:val="18"/>
          <w:szCs w:val="18"/>
        </w:rPr>
      </w:pPr>
      <w:r w:rsidRPr="002101AC">
        <w:rPr>
          <w:rFonts w:ascii="Arial" w:hAnsi="Arial" w:cs="Arial"/>
          <w:sz w:val="18"/>
          <w:szCs w:val="18"/>
        </w:rPr>
        <w:t xml:space="preserve">Det finns pengar att söka från Riksantikvarieämbetet för Centralmuseerna för vissa projekt, men inte specifikt för proveniensefterforskningar. </w:t>
      </w:r>
    </w:p>
    <w:p w:rsidR="00172E31" w:rsidRPr="002101AC" w:rsidRDefault="00172E31" w:rsidP="002101AC">
      <w:pPr>
        <w:pStyle w:val="Liststycke"/>
        <w:numPr>
          <w:ilvl w:val="0"/>
          <w:numId w:val="10"/>
        </w:numPr>
        <w:rPr>
          <w:rFonts w:ascii="Arial" w:hAnsi="Arial" w:cs="Arial"/>
          <w:sz w:val="18"/>
          <w:szCs w:val="18"/>
        </w:rPr>
      </w:pPr>
      <w:r w:rsidRPr="002101AC">
        <w:rPr>
          <w:rFonts w:ascii="Arial" w:hAnsi="Arial" w:cs="Arial"/>
          <w:sz w:val="18"/>
          <w:szCs w:val="18"/>
        </w:rPr>
        <w:t>Försök att hittat finansiärer lokalt.</w:t>
      </w:r>
    </w:p>
    <w:p w:rsidR="00172E31" w:rsidRPr="002101AC" w:rsidRDefault="00172E31" w:rsidP="002101AC">
      <w:pPr>
        <w:pStyle w:val="Liststycke"/>
        <w:numPr>
          <w:ilvl w:val="0"/>
          <w:numId w:val="10"/>
        </w:numPr>
        <w:rPr>
          <w:rFonts w:ascii="Arial" w:hAnsi="Arial" w:cs="Arial"/>
          <w:sz w:val="18"/>
          <w:szCs w:val="18"/>
        </w:rPr>
      </w:pPr>
      <w:r w:rsidRPr="002101AC">
        <w:rPr>
          <w:rFonts w:ascii="Arial" w:hAnsi="Arial" w:cs="Arial"/>
          <w:sz w:val="18"/>
          <w:szCs w:val="18"/>
        </w:rPr>
        <w:t xml:space="preserve">Fråga kollegor på andra museer. </w:t>
      </w:r>
    </w:p>
    <w:p w:rsidR="00172E31" w:rsidRPr="002101AC" w:rsidRDefault="00172E31" w:rsidP="002101AC">
      <w:pPr>
        <w:pStyle w:val="Liststycke"/>
        <w:numPr>
          <w:ilvl w:val="0"/>
          <w:numId w:val="10"/>
        </w:numPr>
        <w:rPr>
          <w:rFonts w:ascii="Arial" w:hAnsi="Arial" w:cs="Arial"/>
          <w:sz w:val="18"/>
          <w:szCs w:val="18"/>
        </w:rPr>
      </w:pPr>
      <w:r w:rsidRPr="002101AC">
        <w:rPr>
          <w:rFonts w:ascii="Arial" w:hAnsi="Arial" w:cs="Arial"/>
          <w:sz w:val="18"/>
          <w:szCs w:val="18"/>
        </w:rPr>
        <w:t>SIC-epostlistan för samlingsförvaltare har varit till stor hjälp för många. Här finns många kollegor från andra museer som oftast är frikostiga med att dela med sig av egna erfarenheter. (Om du vill bli medlem i SIC-listan, kontakta Susanne Nickel)</w:t>
      </w:r>
    </w:p>
    <w:p w:rsidR="00172E31" w:rsidRDefault="00172E31" w:rsidP="00172E31">
      <w:pPr>
        <w:rPr>
          <w:b/>
        </w:rPr>
      </w:pPr>
    </w:p>
    <w:p w:rsidR="00172E31" w:rsidRPr="00C60556" w:rsidRDefault="00172E31" w:rsidP="00172E31">
      <w:pPr>
        <w:rPr>
          <w:b/>
        </w:rPr>
      </w:pPr>
      <w:r w:rsidRPr="00C60556">
        <w:rPr>
          <w:b/>
        </w:rPr>
        <w:lastRenderedPageBreak/>
        <w:t>Länkar</w:t>
      </w:r>
      <w:r>
        <w:rPr>
          <w:b/>
        </w:rPr>
        <w:t xml:space="preserve"> som nämndes på mötet</w:t>
      </w:r>
    </w:p>
    <w:p w:rsidR="002E44A4" w:rsidRDefault="002E44A4" w:rsidP="00172E31"/>
    <w:p w:rsidR="002E44A4" w:rsidRPr="002E44A4" w:rsidRDefault="00172E31" w:rsidP="002E44A4">
      <w:pPr>
        <w:rPr>
          <w:rStyle w:val="Hyperlnk"/>
          <w:color w:val="auto"/>
          <w:u w:val="none"/>
        </w:rPr>
      </w:pPr>
      <w:r w:rsidRPr="002E44A4">
        <w:rPr>
          <w:sz w:val="20"/>
        </w:rPr>
        <w:t xml:space="preserve">Collection trust har en checklista om due dilligence: </w:t>
      </w:r>
      <w:hyperlink r:id="rId7" w:history="1">
        <w:r w:rsidRPr="00EE47B3">
          <w:rPr>
            <w:rStyle w:val="Hyperlnk"/>
          </w:rPr>
          <w:t>https://collectionstrust.org.uk/resource/acquiring-objects-due-diligence-checklist/</w:t>
        </w:r>
      </w:hyperlink>
    </w:p>
    <w:p w:rsidR="002E44A4" w:rsidRDefault="002E44A4" w:rsidP="002E44A4">
      <w:pPr>
        <w:pStyle w:val="Liststycke"/>
      </w:pPr>
    </w:p>
    <w:p w:rsidR="002E44A4" w:rsidRPr="002E44A4" w:rsidRDefault="002E44A4" w:rsidP="002E44A4">
      <w:pPr>
        <w:rPr>
          <w:rStyle w:val="Hyperlnk"/>
          <w:color w:val="auto"/>
          <w:u w:val="none"/>
        </w:rPr>
      </w:pPr>
      <w:r w:rsidRPr="002E44A4">
        <w:rPr>
          <w:sz w:val="20"/>
        </w:rPr>
        <w:t>Combating Illicit Trade.</w:t>
      </w:r>
      <w:r w:rsidR="00172E31" w:rsidRPr="002E44A4">
        <w:rPr>
          <w:sz w:val="20"/>
        </w:rPr>
        <w:t xml:space="preserve"> Due dilligence guidelines for museums, libraries and archives on collecting and borrowing culture material: </w:t>
      </w:r>
      <w:hyperlink r:id="rId8" w:history="1">
        <w:r w:rsidR="00172E31" w:rsidRPr="00EE47B3">
          <w:rPr>
            <w:rStyle w:val="Hyperlnk"/>
          </w:rPr>
          <w:t>https://www.museumsassociation.org/download?id=17156</w:t>
        </w:r>
      </w:hyperlink>
    </w:p>
    <w:p w:rsidR="002E44A4" w:rsidRDefault="002E44A4" w:rsidP="002E44A4">
      <w:pPr>
        <w:pStyle w:val="Liststycke"/>
      </w:pPr>
    </w:p>
    <w:p w:rsidR="002E44A4" w:rsidRPr="002E44A4" w:rsidRDefault="002E44A4" w:rsidP="002E44A4">
      <w:pPr>
        <w:rPr>
          <w:rStyle w:val="Hyperlnk"/>
          <w:color w:val="auto"/>
          <w:u w:val="none"/>
        </w:rPr>
      </w:pPr>
      <w:r w:rsidRPr="002E44A4">
        <w:rPr>
          <w:sz w:val="20"/>
        </w:rPr>
        <w:t>Information från Icom:</w:t>
      </w:r>
      <w:r w:rsidR="00172E31" w:rsidRPr="00F3522A">
        <w:t xml:space="preserve"> </w:t>
      </w:r>
      <w:hyperlink r:id="rId9" w:history="1">
        <w:r w:rsidR="00172E31" w:rsidRPr="00EE47B3">
          <w:rPr>
            <w:rStyle w:val="Hyperlnk"/>
          </w:rPr>
          <w:t>https://www.obs-traffic.museum/due-diligence-good-faith</w:t>
        </w:r>
      </w:hyperlink>
    </w:p>
    <w:p w:rsidR="002E44A4" w:rsidRDefault="002E44A4" w:rsidP="002E44A4">
      <w:pPr>
        <w:pStyle w:val="Liststycke"/>
      </w:pPr>
    </w:p>
    <w:p w:rsidR="00172E31" w:rsidRDefault="00172E31" w:rsidP="002E44A4">
      <w:r w:rsidRPr="00F3522A">
        <w:t>Råd från Collection Tr</w:t>
      </w:r>
      <w:r w:rsidR="002E44A4">
        <w:t>ust:</w:t>
      </w:r>
      <w:r w:rsidRPr="00F3522A">
        <w:t xml:space="preserve"> </w:t>
      </w:r>
      <w:hyperlink r:id="rId10" w:history="1">
        <w:r w:rsidRPr="00EE47B3">
          <w:rPr>
            <w:rStyle w:val="Hyperlnk"/>
          </w:rPr>
          <w:t>https://collectionstrust.org.uk/cultural-property-advice/</w:t>
        </w:r>
      </w:hyperlink>
    </w:p>
    <w:p w:rsidR="002E44A4" w:rsidRDefault="002E44A4" w:rsidP="002E44A4"/>
    <w:p w:rsidR="00172E31" w:rsidRDefault="00172E31" w:rsidP="002E44A4">
      <w:r w:rsidRPr="002E44A4">
        <w:rPr>
          <w:sz w:val="20"/>
        </w:rPr>
        <w:t>Unescokonventionen om åtgärder för att förbjuda och förhindra olovlig införsel, utförsel och överlåtelse av äganderätte</w:t>
      </w:r>
      <w:r w:rsidR="002E44A4" w:rsidRPr="002E44A4">
        <w:rPr>
          <w:sz w:val="20"/>
        </w:rPr>
        <w:t>n till kulturegendom (1970):</w:t>
      </w:r>
      <w:r w:rsidRPr="002E44A4">
        <w:rPr>
          <w:i/>
          <w:sz w:val="20"/>
        </w:rPr>
        <w:t xml:space="preserve"> </w:t>
      </w:r>
      <w:hyperlink r:id="rId11" w:history="1">
        <w:r w:rsidRPr="00B57F99">
          <w:rPr>
            <w:rStyle w:val="Hyperlnk"/>
          </w:rPr>
          <w:t>https://www.regeringen.se/rattsliga-dokument/sveriges-internationella-overenskommelser/2003/01/so-20038/</w:t>
        </w:r>
      </w:hyperlink>
    </w:p>
    <w:p w:rsidR="002E44A4" w:rsidRDefault="002E44A4" w:rsidP="002E44A4"/>
    <w:p w:rsidR="00172E31" w:rsidRDefault="00172E31" w:rsidP="002E44A4">
      <w:r w:rsidRPr="002E44A4">
        <w:rPr>
          <w:sz w:val="20"/>
        </w:rPr>
        <w:t>Vägledning för åter</w:t>
      </w:r>
      <w:r w:rsidR="002E44A4" w:rsidRPr="002E44A4">
        <w:rPr>
          <w:sz w:val="20"/>
        </w:rPr>
        <w:t>lämnande av vissa kulturföremål:</w:t>
      </w:r>
      <w:r w:rsidRPr="002E44A4">
        <w:rPr>
          <w:sz w:val="20"/>
        </w:rPr>
        <w:t xml:space="preserve"> </w:t>
      </w:r>
      <w:hyperlink r:id="rId12" w:history="1">
        <w:r w:rsidRPr="00B57F99">
          <w:rPr>
            <w:rStyle w:val="Hyperlnk"/>
          </w:rPr>
          <w:t>https://www.raa.se/aktuellt/aktuella-fragor/regeringsuppdrag/aterlamnande-av-vissa-kulturforemal/</w:t>
        </w:r>
      </w:hyperlink>
      <w:r>
        <w:t xml:space="preserve"> </w:t>
      </w:r>
      <w:r w:rsidRPr="00F3522A">
        <w:t xml:space="preserve">Regeringsuppdraget </w:t>
      </w:r>
      <w:r>
        <w:t>ska utföras i samverkan med centralmuseerna och Sametinget.</w:t>
      </w:r>
      <w:r w:rsidRPr="002E44A4">
        <w:rPr>
          <w:b/>
          <w:i/>
        </w:rPr>
        <w:t xml:space="preserve"> </w:t>
      </w:r>
      <w:r>
        <w:t xml:space="preserve">Vägledningen ska vara klar i samband med årsredovisningen, 2019. I dagsläget skriver vi texter för diskussion. Hittills har vi sett att finansiering är en stor fråga. Andra stora frågor handlar om juridik, till exempel vilka lagar och konventioner som gäller och hur de ska tolkas. Mycket handlar också om etiska diskussioner, när juridiken inte räcker till. I vägledningen ska vi bena upp vad som gäller juridiskt, så att det inte blir oklart. </w:t>
      </w:r>
    </w:p>
    <w:p w:rsidR="00EF17CF" w:rsidRPr="00EF17CF" w:rsidRDefault="00EF17CF" w:rsidP="00172E31">
      <w:pPr>
        <w:rPr>
          <w:lang w:val="nn-NO" w:eastAsia="sv-SE"/>
        </w:rPr>
      </w:pPr>
    </w:p>
    <w:sectPr w:rsidR="00EF17CF" w:rsidRPr="00EF17CF" w:rsidSect="00260D76">
      <w:headerReference w:type="default" r:id="rId13"/>
      <w:footerReference w:type="default" r:id="rId14"/>
      <w:pgSz w:w="11906" w:h="16838" w:code="9"/>
      <w:pgMar w:top="3289" w:right="1134" w:bottom="1701" w:left="4196"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31" w:rsidRDefault="00172E31" w:rsidP="00027695">
      <w:pPr>
        <w:spacing w:line="240" w:lineRule="auto"/>
      </w:pPr>
      <w:r>
        <w:separator/>
      </w:r>
    </w:p>
  </w:endnote>
  <w:endnote w:type="continuationSeparator" w:id="0">
    <w:p w:rsidR="00172E31" w:rsidRDefault="00172E31" w:rsidP="0002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67" w:rsidRPr="00260D76" w:rsidRDefault="001D5267" w:rsidP="00260D76">
    <w:pPr>
      <w:pStyle w:val="Sidfot"/>
      <w:jc w:val="right"/>
      <w:rPr>
        <w:sz w:val="16"/>
        <w:szCs w:val="16"/>
      </w:rPr>
    </w:pPr>
    <w:r w:rsidRPr="00260D76">
      <w:rPr>
        <w:sz w:val="16"/>
        <w:szCs w:val="16"/>
      </w:rPr>
      <w:fldChar w:fldCharType="begin"/>
    </w:r>
    <w:r w:rsidRPr="00260D76">
      <w:rPr>
        <w:sz w:val="16"/>
        <w:szCs w:val="16"/>
      </w:rPr>
      <w:instrText xml:space="preserve"> PAGE   \* MERGEFORMAT </w:instrText>
    </w:r>
    <w:r w:rsidRPr="00260D76">
      <w:rPr>
        <w:sz w:val="16"/>
        <w:szCs w:val="16"/>
      </w:rPr>
      <w:fldChar w:fldCharType="separate"/>
    </w:r>
    <w:r w:rsidR="002101AC">
      <w:rPr>
        <w:noProof/>
        <w:sz w:val="16"/>
        <w:szCs w:val="16"/>
      </w:rPr>
      <w:t>1</w:t>
    </w:r>
    <w:r w:rsidRPr="00260D76">
      <w:rPr>
        <w:sz w:val="16"/>
        <w:szCs w:val="16"/>
      </w:rPr>
      <w:fldChar w:fldCharType="end"/>
    </w:r>
    <w:r>
      <w:rPr>
        <w:sz w:val="16"/>
        <w:szCs w:val="16"/>
      </w:rPr>
      <w:t xml:space="preserve"> (</w:t>
    </w:r>
    <w:r w:rsidRPr="00260D76">
      <w:rPr>
        <w:sz w:val="16"/>
        <w:szCs w:val="16"/>
      </w:rPr>
      <w:fldChar w:fldCharType="begin"/>
    </w:r>
    <w:r w:rsidRPr="00260D76">
      <w:rPr>
        <w:sz w:val="16"/>
        <w:szCs w:val="16"/>
      </w:rPr>
      <w:instrText xml:space="preserve"> SECTIONPAGES   \* MERGEFORMAT </w:instrText>
    </w:r>
    <w:r w:rsidRPr="00260D76">
      <w:rPr>
        <w:sz w:val="16"/>
        <w:szCs w:val="16"/>
      </w:rPr>
      <w:fldChar w:fldCharType="separate"/>
    </w:r>
    <w:r w:rsidR="002101AC">
      <w:rPr>
        <w:noProof/>
        <w:sz w:val="16"/>
        <w:szCs w:val="16"/>
      </w:rPr>
      <w:t>5</w:t>
    </w:r>
    <w:r w:rsidRPr="00260D76">
      <w:rPr>
        <w:sz w:val="16"/>
        <w:szCs w:val="16"/>
      </w:rPr>
      <w:fldChar w:fldCharType="end"/>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31" w:rsidRDefault="00172E31" w:rsidP="00027695">
      <w:pPr>
        <w:spacing w:line="240" w:lineRule="auto"/>
      </w:pPr>
      <w:r>
        <w:separator/>
      </w:r>
    </w:p>
  </w:footnote>
  <w:footnote w:type="continuationSeparator" w:id="0">
    <w:p w:rsidR="00172E31" w:rsidRDefault="00172E31" w:rsidP="00027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67" w:rsidRPr="00027695" w:rsidRDefault="00673F8C" w:rsidP="00027695">
    <w:pPr>
      <w:pStyle w:val="Sidhuvud"/>
    </w:pPr>
    <w:r>
      <w:rPr>
        <w:noProof/>
        <w:lang w:eastAsia="sv-SE"/>
      </w:rPr>
      <w:drawing>
        <wp:anchor distT="0" distB="0" distL="114300" distR="114300" simplePos="0" relativeHeight="251658240" behindDoc="1" locked="1" layoutInCell="1" allowOverlap="1">
          <wp:simplePos x="0" y="0"/>
          <wp:positionH relativeFrom="column">
            <wp:posOffset>-2063115</wp:posOffset>
          </wp:positionH>
          <wp:positionV relativeFrom="paragraph">
            <wp:posOffset>-46990</wp:posOffset>
          </wp:positionV>
          <wp:extent cx="2113200" cy="446400"/>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44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9FC"/>
    <w:multiLevelType w:val="hybridMultilevel"/>
    <w:tmpl w:val="51A21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7719CB"/>
    <w:multiLevelType w:val="hybridMultilevel"/>
    <w:tmpl w:val="69100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A6051A"/>
    <w:multiLevelType w:val="hybridMultilevel"/>
    <w:tmpl w:val="D9F0579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903FD1"/>
    <w:multiLevelType w:val="hybridMultilevel"/>
    <w:tmpl w:val="D3C4B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046AA2"/>
    <w:multiLevelType w:val="hybridMultilevel"/>
    <w:tmpl w:val="13724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775D3F"/>
    <w:multiLevelType w:val="hybridMultilevel"/>
    <w:tmpl w:val="F84AD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EE4A1B"/>
    <w:multiLevelType w:val="hybridMultilevel"/>
    <w:tmpl w:val="4A7853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A7055C"/>
    <w:multiLevelType w:val="multilevel"/>
    <w:tmpl w:val="8FD8B4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086307"/>
    <w:multiLevelType w:val="hybridMultilevel"/>
    <w:tmpl w:val="7C703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3"/>
  </w:num>
  <w:num w:numId="5">
    <w:abstractNumId w:val="8"/>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31"/>
    <w:rsid w:val="00016BE8"/>
    <w:rsid w:val="00027695"/>
    <w:rsid w:val="00063D6D"/>
    <w:rsid w:val="0011053F"/>
    <w:rsid w:val="00172E31"/>
    <w:rsid w:val="001B468D"/>
    <w:rsid w:val="001B6427"/>
    <w:rsid w:val="001D5267"/>
    <w:rsid w:val="002101AC"/>
    <w:rsid w:val="0022096A"/>
    <w:rsid w:val="00260D76"/>
    <w:rsid w:val="002B474A"/>
    <w:rsid w:val="002E44A4"/>
    <w:rsid w:val="00315E89"/>
    <w:rsid w:val="003A0548"/>
    <w:rsid w:val="00494703"/>
    <w:rsid w:val="004D48B0"/>
    <w:rsid w:val="005C01D0"/>
    <w:rsid w:val="006250B4"/>
    <w:rsid w:val="00657ECA"/>
    <w:rsid w:val="00673F8C"/>
    <w:rsid w:val="00693360"/>
    <w:rsid w:val="00801E52"/>
    <w:rsid w:val="0081726D"/>
    <w:rsid w:val="0088065E"/>
    <w:rsid w:val="008F5442"/>
    <w:rsid w:val="009137BE"/>
    <w:rsid w:val="0095188D"/>
    <w:rsid w:val="00961618"/>
    <w:rsid w:val="00A0127B"/>
    <w:rsid w:val="00A5672C"/>
    <w:rsid w:val="00A60288"/>
    <w:rsid w:val="00B04328"/>
    <w:rsid w:val="00B749CF"/>
    <w:rsid w:val="00BF7651"/>
    <w:rsid w:val="00C013C3"/>
    <w:rsid w:val="00D55E46"/>
    <w:rsid w:val="00D8319A"/>
    <w:rsid w:val="00D93B4B"/>
    <w:rsid w:val="00E001A5"/>
    <w:rsid w:val="00E32242"/>
    <w:rsid w:val="00EB3194"/>
    <w:rsid w:val="00EE12FB"/>
    <w:rsid w:val="00EF17CF"/>
    <w:rsid w:val="00F66C04"/>
    <w:rsid w:val="00F74336"/>
    <w:rsid w:val="00FF4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0AB2E"/>
  <w15:docId w15:val="{46D6951D-CC59-43AF-9515-F961A01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C3"/>
    <w:pPr>
      <w:spacing w:line="360" w:lineRule="auto"/>
    </w:pPr>
    <w:rPr>
      <w:sz w:val="18"/>
      <w:lang w:eastAsia="en-US"/>
    </w:rPr>
  </w:style>
  <w:style w:type="paragraph" w:styleId="Rubrik1">
    <w:name w:val="heading 1"/>
    <w:basedOn w:val="Normal"/>
    <w:next w:val="Normal"/>
    <w:link w:val="Rubrik1Char"/>
    <w:uiPriority w:val="9"/>
    <w:qFormat/>
    <w:rsid w:val="00C013C3"/>
    <w:pPr>
      <w:spacing w:after="120"/>
      <w:outlineLvl w:val="0"/>
    </w:pPr>
    <w:rPr>
      <w:b/>
      <w:sz w:val="28"/>
    </w:rPr>
  </w:style>
  <w:style w:type="paragraph" w:styleId="Rubrik2">
    <w:name w:val="heading 2"/>
    <w:basedOn w:val="Normal"/>
    <w:next w:val="Normal"/>
    <w:link w:val="Rubrik2Char"/>
    <w:qFormat/>
    <w:rsid w:val="00C013C3"/>
    <w:pPr>
      <w:keepNext/>
      <w:spacing w:before="300"/>
      <w:outlineLvl w:val="1"/>
    </w:pPr>
    <w:rPr>
      <w:rFonts w:eastAsia="Times New Roman"/>
      <w:b/>
      <w:kern w:val="20"/>
      <w:sz w:val="20"/>
      <w:szCs w:val="28"/>
      <w:lang w:eastAsia="sv-SE"/>
    </w:rPr>
  </w:style>
  <w:style w:type="paragraph" w:styleId="Rubrik3">
    <w:name w:val="heading 3"/>
    <w:basedOn w:val="Normal"/>
    <w:next w:val="Normal"/>
    <w:link w:val="Rubrik3Char"/>
    <w:uiPriority w:val="9"/>
    <w:qFormat/>
    <w:rsid w:val="00315E89"/>
    <w:pPr>
      <w:keepNext/>
      <w:keepLines/>
      <w:spacing w:before="260"/>
      <w:outlineLvl w:val="2"/>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nttext">
    <w:name w:val="Kanttext"/>
    <w:basedOn w:val="Normal"/>
    <w:next w:val="Kanttextbrd"/>
    <w:qFormat/>
    <w:rsid w:val="00A5672C"/>
    <w:pPr>
      <w:framePr w:w="2552" w:hSpace="284" w:wrap="around" w:hAnchor="page" w:y="1" w:anchorLock="1"/>
      <w:spacing w:after="120"/>
    </w:pPr>
    <w:rPr>
      <w:b/>
      <w:sz w:val="26"/>
    </w:rPr>
  </w:style>
  <w:style w:type="paragraph" w:customStyle="1" w:styleId="Kanttextbrd">
    <w:name w:val="Kanttext bröd"/>
    <w:qFormat/>
    <w:rsid w:val="00EF17CF"/>
    <w:pPr>
      <w:framePr w:w="2552" w:hSpace="284" w:wrap="around" w:hAnchor="page" w:y="1" w:anchorLock="1"/>
      <w:spacing w:after="80"/>
    </w:pPr>
    <w:rPr>
      <w:sz w:val="16"/>
      <w:lang w:eastAsia="en-US"/>
    </w:rPr>
  </w:style>
  <w:style w:type="paragraph" w:customStyle="1" w:styleId="Kanttextadress">
    <w:name w:val="Kanttext adress"/>
    <w:qFormat/>
    <w:rsid w:val="00EF17CF"/>
    <w:pPr>
      <w:framePr w:w="2552" w:hSpace="284" w:wrap="around" w:vAnchor="page" w:hAnchor="page" w:y="12475" w:anchorLock="1"/>
      <w:spacing w:after="80"/>
    </w:pPr>
    <w:rPr>
      <w:sz w:val="16"/>
      <w:lang w:eastAsia="en-US"/>
    </w:rPr>
  </w:style>
  <w:style w:type="character" w:customStyle="1" w:styleId="Rubrik2Char">
    <w:name w:val="Rubrik 2 Char"/>
    <w:basedOn w:val="Standardstycketeckensnitt"/>
    <w:link w:val="Rubrik2"/>
    <w:rsid w:val="00C013C3"/>
    <w:rPr>
      <w:rFonts w:eastAsia="Times New Roman"/>
      <w:b/>
      <w:kern w:val="20"/>
      <w:szCs w:val="28"/>
    </w:rPr>
  </w:style>
  <w:style w:type="paragraph" w:styleId="Sidhuvud">
    <w:name w:val="header"/>
    <w:basedOn w:val="Normal"/>
    <w:link w:val="SidhuvudChar"/>
    <w:uiPriority w:val="99"/>
    <w:unhideWhenUsed/>
    <w:rsid w:val="00027695"/>
    <w:pPr>
      <w:tabs>
        <w:tab w:val="center" w:pos="4536"/>
        <w:tab w:val="right" w:pos="9072"/>
      </w:tabs>
    </w:pPr>
  </w:style>
  <w:style w:type="character" w:customStyle="1" w:styleId="SidhuvudChar">
    <w:name w:val="Sidhuvud Char"/>
    <w:basedOn w:val="Standardstycketeckensnitt"/>
    <w:link w:val="Sidhuvud"/>
    <w:uiPriority w:val="99"/>
    <w:rsid w:val="00027695"/>
  </w:style>
  <w:style w:type="paragraph" w:styleId="Sidfot">
    <w:name w:val="footer"/>
    <w:basedOn w:val="Normal"/>
    <w:link w:val="SidfotChar"/>
    <w:uiPriority w:val="99"/>
    <w:unhideWhenUsed/>
    <w:rsid w:val="00027695"/>
    <w:pPr>
      <w:tabs>
        <w:tab w:val="center" w:pos="4536"/>
        <w:tab w:val="right" w:pos="9072"/>
      </w:tabs>
    </w:pPr>
  </w:style>
  <w:style w:type="character" w:customStyle="1" w:styleId="SidfotChar">
    <w:name w:val="Sidfot Char"/>
    <w:basedOn w:val="Standardstycketeckensnitt"/>
    <w:link w:val="Sidfot"/>
    <w:uiPriority w:val="99"/>
    <w:rsid w:val="00027695"/>
  </w:style>
  <w:style w:type="paragraph" w:styleId="Ballongtext">
    <w:name w:val="Balloon Text"/>
    <w:basedOn w:val="Normal"/>
    <w:link w:val="BallongtextChar"/>
    <w:uiPriority w:val="99"/>
    <w:semiHidden/>
    <w:unhideWhenUsed/>
    <w:rsid w:val="00027695"/>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695"/>
    <w:rPr>
      <w:rFonts w:ascii="Tahoma" w:hAnsi="Tahoma" w:cs="Tahoma"/>
      <w:sz w:val="16"/>
      <w:szCs w:val="16"/>
    </w:rPr>
  </w:style>
  <w:style w:type="character" w:customStyle="1" w:styleId="Rubrik1Char">
    <w:name w:val="Rubrik 1 Char"/>
    <w:basedOn w:val="Standardstycketeckensnitt"/>
    <w:link w:val="Rubrik1"/>
    <w:uiPriority w:val="9"/>
    <w:rsid w:val="00C013C3"/>
    <w:rPr>
      <w:b/>
      <w:sz w:val="28"/>
      <w:lang w:eastAsia="en-US"/>
    </w:rPr>
  </w:style>
  <w:style w:type="character" w:customStyle="1" w:styleId="Rubrik3Char">
    <w:name w:val="Rubrik 3 Char"/>
    <w:basedOn w:val="Standardstycketeckensnitt"/>
    <w:link w:val="Rubrik3"/>
    <w:uiPriority w:val="9"/>
    <w:rsid w:val="00315E89"/>
    <w:rPr>
      <w:rFonts w:eastAsia="Times New Roman" w:cs="Times New Roman"/>
      <w:b/>
      <w:bCs/>
      <w:sz w:val="18"/>
    </w:rPr>
  </w:style>
  <w:style w:type="paragraph" w:customStyle="1" w:styleId="Adressruta">
    <w:name w:val="Adressruta"/>
    <w:basedOn w:val="Normal"/>
    <w:qFormat/>
    <w:rsid w:val="00EB3194"/>
    <w:pPr>
      <w:framePr w:w="6810" w:h="1985" w:wrap="around" w:vAnchor="page" w:hAnchor="page" w:x="4214" w:y="2212" w:anchorLock="1"/>
      <w:ind w:left="3119"/>
    </w:pPr>
    <w:rPr>
      <w:sz w:val="20"/>
    </w:rPr>
  </w:style>
  <w:style w:type="character" w:styleId="Hyperlnk">
    <w:name w:val="Hyperlink"/>
    <w:basedOn w:val="Standardstycketeckensnitt"/>
    <w:uiPriority w:val="99"/>
    <w:unhideWhenUsed/>
    <w:rsid w:val="00172E31"/>
    <w:rPr>
      <w:color w:val="0000FF" w:themeColor="hyperlink"/>
      <w:u w:val="single"/>
    </w:rPr>
  </w:style>
  <w:style w:type="paragraph" w:styleId="Liststycke">
    <w:name w:val="List Paragraph"/>
    <w:basedOn w:val="Normal"/>
    <w:uiPriority w:val="34"/>
    <w:qFormat/>
    <w:rsid w:val="00172E31"/>
    <w:pPr>
      <w:spacing w:after="160" w:line="259" w:lineRule="auto"/>
      <w:ind w:left="720"/>
      <w:contextualSpacing/>
    </w:pPr>
    <w:rPr>
      <w:rFonts w:asciiTheme="minorHAnsi" w:eastAsiaTheme="minorHAnsi" w:hAnsiTheme="minorHAnsi" w:cstheme="minorBidi"/>
      <w:sz w:val="22"/>
      <w:szCs w:val="22"/>
    </w:rPr>
  </w:style>
  <w:style w:type="paragraph" w:styleId="Ingetavstnd">
    <w:name w:val="No Spacing"/>
    <w:uiPriority w:val="1"/>
    <w:qFormat/>
    <w:rsid w:val="00172E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seumsassociation.org/download?id=171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ectionstrust.org.uk/resource/acquiring-objects-due-diligence-checklist/" TargetMode="External"/><Relationship Id="rId12" Type="http://schemas.openxmlformats.org/officeDocument/2006/relationships/hyperlink" Target="https://www.raa.se/aktuellt/aktuella-fragor/regeringsuppdrag/aterlamnande-av-vissa-kulturforem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se/rattsliga-dokument/sveriges-internationella-overenskommelser/2003/01/so-200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llectionstrust.org.uk/cultural-property-advice/" TargetMode="External"/><Relationship Id="rId4" Type="http://schemas.openxmlformats.org/officeDocument/2006/relationships/webSettings" Target="webSettings.xml"/><Relationship Id="rId9" Type="http://schemas.openxmlformats.org/officeDocument/2006/relationships/hyperlink" Target="https://www.obs-traffic.museum/due-diligence-good-fai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p-ra-vb1\RAshared\MallarRA\M&#246;tesdokumentation\M&#246;tesanteck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Mötesanteckning.dotx</Template>
  <TotalTime>3</TotalTime>
  <Pages>5</Pages>
  <Words>1695</Words>
  <Characters>8984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Mötesanteckning</vt:lpstr>
    </vt:vector>
  </TitlesOfParts>
  <Company>RAA</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Mötesanteckning</dc:title>
  <dc:creator>Annika Carlsson</dc:creator>
  <cp:lastModifiedBy>Annika Carlsson</cp:lastModifiedBy>
  <cp:revision>3</cp:revision>
  <cp:lastPrinted>1900-12-31T23:00:00Z</cp:lastPrinted>
  <dcterms:created xsi:type="dcterms:W3CDTF">2018-11-16T07:25:00Z</dcterms:created>
  <dcterms:modified xsi:type="dcterms:W3CDTF">2018-11-27T10:02:00Z</dcterms:modified>
</cp:coreProperties>
</file>